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45" w:rsidRPr="00231176" w:rsidRDefault="00754945" w:rsidP="00754945">
      <w:pPr>
        <w:widowControl/>
        <w:shd w:val="clear" w:color="auto" w:fill="FFFFFF"/>
        <w:jc w:val="center"/>
        <w:rPr>
          <w:rFonts w:ascii="Microsoft Yahei" w:eastAsia="宋体" w:hAnsi="Microsoft Yahei" w:cs="宋体" w:hint="eastAsia"/>
          <w:color w:val="000000"/>
          <w:kern w:val="0"/>
          <w:sz w:val="36"/>
          <w:szCs w:val="36"/>
        </w:rPr>
      </w:pPr>
      <w:r w:rsidRPr="00231176">
        <w:rPr>
          <w:rFonts w:ascii="Microsoft Yahei" w:eastAsia="宋体" w:hAnsi="Microsoft Yahei" w:cs="宋体"/>
          <w:color w:val="000000"/>
          <w:kern w:val="0"/>
          <w:sz w:val="36"/>
          <w:szCs w:val="36"/>
        </w:rPr>
        <w:t>《</w:t>
      </w:r>
      <w:bookmarkStart w:id="0" w:name="_GoBack"/>
      <w:r w:rsidRPr="00231176">
        <w:rPr>
          <w:rFonts w:ascii="Microsoft Yahei" w:eastAsia="宋体" w:hAnsi="Microsoft Yahei" w:cs="宋体"/>
          <w:color w:val="000000"/>
          <w:kern w:val="0"/>
          <w:sz w:val="36"/>
          <w:szCs w:val="36"/>
        </w:rPr>
        <w:t>中国共产党重大事项请示报告条例</w:t>
      </w:r>
      <w:bookmarkEnd w:id="0"/>
      <w:r w:rsidRPr="00231176">
        <w:rPr>
          <w:rFonts w:ascii="Microsoft Yahei" w:eastAsia="宋体" w:hAnsi="Microsoft Yahei" w:cs="宋体"/>
          <w:color w:val="000000"/>
          <w:kern w:val="0"/>
          <w:sz w:val="36"/>
          <w:szCs w:val="36"/>
        </w:rPr>
        <w:t>》</w:t>
      </w:r>
    </w:p>
    <w:p w:rsidR="00754945" w:rsidRPr="00754945" w:rsidRDefault="00754945" w:rsidP="00754945">
      <w:pPr>
        <w:widowControl/>
        <w:shd w:val="clear" w:color="auto" w:fill="FFFFFF"/>
        <w:jc w:val="center"/>
        <w:rPr>
          <w:rFonts w:ascii="Microsoft Yahei" w:eastAsia="宋体" w:hAnsi="Microsoft Yahei" w:cs="宋体" w:hint="eastAsia"/>
          <w:color w:val="000000"/>
          <w:kern w:val="0"/>
          <w:sz w:val="30"/>
          <w:szCs w:val="30"/>
        </w:rPr>
      </w:pP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w:t>
      </w:r>
      <w:r w:rsidRPr="00754945">
        <w:rPr>
          <w:rFonts w:ascii="Microsoft Yahei" w:eastAsia="宋体" w:hAnsi="Microsoft Yahei" w:cs="宋体"/>
          <w:b/>
          <w:bCs/>
          <w:color w:val="000000"/>
          <w:kern w:val="0"/>
          <w:sz w:val="27"/>
          <w:szCs w:val="27"/>
        </w:rPr>
        <w:t>第一章　总则</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第一条　为了加强和规范重大事项请示报告工作，严明党的政治纪律、组织纪律和工作纪律，保证全党全国服从党中央、政令畅通，根据《中国共产党章程》、《关于新形势下党内政治生活的若干准则》等党内法规，制定本条例。</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第三条　本条例适用于下级党组织向上级党组织，以及党员、领导干部向党组织请示报告重大事项相关活动。</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本条例所称重大事项，是指超出党组织和党员、领导干部自身职权范围，或者虽在自身职权</w:t>
      </w:r>
      <w:proofErr w:type="gramStart"/>
      <w:r w:rsidRPr="00754945">
        <w:rPr>
          <w:rFonts w:ascii="Microsoft Yahei" w:eastAsia="宋体" w:hAnsi="Microsoft Yahei" w:cs="宋体"/>
          <w:color w:val="000000"/>
          <w:kern w:val="0"/>
          <w:sz w:val="27"/>
          <w:szCs w:val="27"/>
        </w:rPr>
        <w:t>范围内但关乎</w:t>
      </w:r>
      <w:proofErr w:type="gramEnd"/>
      <w:r w:rsidRPr="00754945">
        <w:rPr>
          <w:rFonts w:ascii="Microsoft Yahei" w:eastAsia="宋体" w:hAnsi="Microsoft Yahei" w:cs="宋体"/>
          <w:color w:val="000000"/>
          <w:kern w:val="0"/>
          <w:sz w:val="27"/>
          <w:szCs w:val="27"/>
        </w:rPr>
        <w:t>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本条例所称请示，是指下级党组织向上级党组织，党员、领导干部向党组织就重大事项请求指示或者批准；所称报告，是指下级党组织向上级党组织，党员、领导干部向党组织呈报重要事情和重要情况。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lastRenderedPageBreak/>
        <w:t xml:space="preserve">　　第四条　开展重大事项请示报告工作应当遵循以下原则：</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（一）坚持政治导向。树牢</w:t>
      </w:r>
      <w:r w:rsidRPr="00754945">
        <w:rPr>
          <w:rFonts w:ascii="Microsoft Yahei" w:eastAsia="宋体" w:hAnsi="Microsoft Yahei" w:cs="宋体"/>
          <w:color w:val="000000"/>
          <w:kern w:val="0"/>
          <w:sz w:val="27"/>
          <w:szCs w:val="27"/>
        </w:rPr>
        <w:t>“</w:t>
      </w:r>
      <w:r w:rsidRPr="00754945">
        <w:rPr>
          <w:rFonts w:ascii="Microsoft Yahei" w:eastAsia="宋体" w:hAnsi="Microsoft Yahei" w:cs="宋体"/>
          <w:color w:val="000000"/>
          <w:kern w:val="0"/>
          <w:sz w:val="27"/>
          <w:szCs w:val="27"/>
        </w:rPr>
        <w:t>四个意识</w:t>
      </w:r>
      <w:r w:rsidRPr="00754945">
        <w:rPr>
          <w:rFonts w:ascii="Microsoft Yahei" w:eastAsia="宋体" w:hAnsi="Microsoft Yahei" w:cs="宋体"/>
          <w:color w:val="000000"/>
          <w:kern w:val="0"/>
          <w:sz w:val="27"/>
          <w:szCs w:val="27"/>
        </w:rPr>
        <w:t>”</w:t>
      </w:r>
      <w:r w:rsidRPr="00754945">
        <w:rPr>
          <w:rFonts w:ascii="Microsoft Yahei" w:eastAsia="宋体" w:hAnsi="Microsoft Yahei" w:cs="宋体"/>
          <w:color w:val="000000"/>
          <w:kern w:val="0"/>
          <w:sz w:val="27"/>
          <w:szCs w:val="27"/>
        </w:rPr>
        <w:t>，落实</w:t>
      </w:r>
      <w:r w:rsidRPr="00754945">
        <w:rPr>
          <w:rFonts w:ascii="Microsoft Yahei" w:eastAsia="宋体" w:hAnsi="Microsoft Yahei" w:cs="宋体"/>
          <w:color w:val="000000"/>
          <w:kern w:val="0"/>
          <w:sz w:val="27"/>
          <w:szCs w:val="27"/>
        </w:rPr>
        <w:t>“</w:t>
      </w:r>
      <w:r w:rsidRPr="00754945">
        <w:rPr>
          <w:rFonts w:ascii="Microsoft Yahei" w:eastAsia="宋体" w:hAnsi="Microsoft Yahei" w:cs="宋体"/>
          <w:color w:val="000000"/>
          <w:kern w:val="0"/>
          <w:sz w:val="27"/>
          <w:szCs w:val="27"/>
        </w:rPr>
        <w:t>四个服从</w:t>
      </w:r>
      <w:r w:rsidRPr="00754945">
        <w:rPr>
          <w:rFonts w:ascii="Microsoft Yahei" w:eastAsia="宋体" w:hAnsi="Microsoft Yahei" w:cs="宋体"/>
          <w:color w:val="000000"/>
          <w:kern w:val="0"/>
          <w:sz w:val="27"/>
          <w:szCs w:val="27"/>
        </w:rPr>
        <w:t>”</w:t>
      </w:r>
      <w:r w:rsidRPr="00754945">
        <w:rPr>
          <w:rFonts w:ascii="Microsoft Yahei" w:eastAsia="宋体" w:hAnsi="Microsoft Yahei" w:cs="宋体"/>
          <w:color w:val="000000"/>
          <w:kern w:val="0"/>
          <w:sz w:val="27"/>
          <w:szCs w:val="27"/>
        </w:rPr>
        <w:t>，把请示报告作为重要政治纪律和政治规矩，把讲政治要求贯彻到请示报告工作全过程和各方面。</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（二）坚持权责明晰。既牢记授权有限，该请示的必须请示，该报告的必须报告；又牢记守土有责，该负责的必须负责，该担当的必须担当。</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（三）坚持客观真实。全面如实请示报告工作、反映情况、分析问题、提出建议，既报喜又报忧、既报功又报过、既报结果又报过程。</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（四）坚持规范有序。落实依规治党要求，严格按照党章党规规定的主体、范围、程序和方式开展重大事项请示报告工作。</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第五条　各地区各部门党组织承担重大事项请示报告工作主体责任，党组织主要负责同志为第一责任人，对请示报告工作负总责。</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w:t>
      </w:r>
      <w:r w:rsidRPr="00754945">
        <w:rPr>
          <w:rFonts w:ascii="Microsoft Yahei" w:eastAsia="宋体" w:hAnsi="Microsoft Yahei" w:cs="宋体"/>
          <w:b/>
          <w:bCs/>
          <w:color w:val="000000"/>
          <w:kern w:val="0"/>
          <w:sz w:val="27"/>
          <w:szCs w:val="27"/>
        </w:rPr>
        <w:t>第二章　党组织请示报告主体</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第六条　党组织请示报告工作一般应当以组织名义进行，向负有领导或者监督指导职责的上级党组织请示报告。特殊情况下，可以根据工作需要以党组织负责同志名义代表党组织请示报告。</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请示报告应当逐级进行，一般不得越级请示报告。特殊情况下，可以按照有关规定直接向更高层级党组织请示报告。</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lastRenderedPageBreak/>
        <w:t xml:space="preserve">　　第七条　接受双重领导的单位党组织，应当根据事项性质和内容向负有主要领导职责的上级党组织请示报告，同时抄送另一个上级党组织。特殊情况下，可以不抄送另一个上级党组织。</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第八条　接受归口领导、管理的单位党组织，必须服从批准其设立的党组织的领导，向其请示报告工作，并按照有关规定向归口领导、管理单位党组织请示报告。</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第九条　接受归口指导、协调或者监督的单位党组织，向上级党组织请示报告一般应当抄送负有指导、协调或者监督职责的单位党组织。</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负有指导、协调或者监督职责的单位党组织应当统筹所负责区域、领域、行业、系统内各单位党组织的请示报告工作，归口统一向上级党组织请示报告总体情况、牵头事项完成情况等。</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第十条　涉及跨区域、跨领域、跨行业、跨系统的重大事项，应当由有关党组织向共同上级党组织联合请示报告。联合请示报告应当明确牵头党组织。</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党政机关联合请示报告的，一般应当将上级党政机关同时列为请示报告对象。</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第十一条　根据党内法规制度规定，党的决策议事协调机构和党的工作机关可以在其职权范围内接受下级党组织的请示报告并</w:t>
      </w:r>
      <w:proofErr w:type="gramStart"/>
      <w:r w:rsidRPr="00754945">
        <w:rPr>
          <w:rFonts w:ascii="Microsoft Yahei" w:eastAsia="宋体" w:hAnsi="Microsoft Yahei" w:cs="宋体"/>
          <w:color w:val="000000"/>
          <w:kern w:val="0"/>
          <w:sz w:val="27"/>
          <w:szCs w:val="27"/>
        </w:rPr>
        <w:t>作出</w:t>
      </w:r>
      <w:proofErr w:type="gramEnd"/>
      <w:r w:rsidRPr="00754945">
        <w:rPr>
          <w:rFonts w:ascii="Microsoft Yahei" w:eastAsia="宋体" w:hAnsi="Microsoft Yahei" w:cs="宋体"/>
          <w:color w:val="000000"/>
          <w:kern w:val="0"/>
          <w:sz w:val="27"/>
          <w:szCs w:val="27"/>
        </w:rPr>
        <w:t>处理。</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lastRenderedPageBreak/>
        <w:t xml:space="preserve">　　</w:t>
      </w:r>
      <w:r w:rsidRPr="00754945">
        <w:rPr>
          <w:rFonts w:ascii="Microsoft Yahei" w:eastAsia="宋体" w:hAnsi="Microsoft Yahei" w:cs="宋体"/>
          <w:b/>
          <w:bCs/>
          <w:color w:val="000000"/>
          <w:kern w:val="0"/>
          <w:sz w:val="27"/>
          <w:szCs w:val="27"/>
        </w:rPr>
        <w:t>第三章　党组织请示报告事项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第十三条　党组织应当向上级党组织请示下列事项：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（一）贯彻落实党中央决策部署和上级党组织决定中的重要情况和问题，需要</w:t>
      </w:r>
      <w:proofErr w:type="gramStart"/>
      <w:r w:rsidRPr="00754945">
        <w:rPr>
          <w:rFonts w:ascii="Microsoft Yahei" w:eastAsia="宋体" w:hAnsi="Microsoft Yahei" w:cs="宋体"/>
          <w:color w:val="000000"/>
          <w:kern w:val="0"/>
          <w:sz w:val="27"/>
          <w:szCs w:val="27"/>
        </w:rPr>
        <w:t>作出</w:t>
      </w:r>
      <w:proofErr w:type="gramEnd"/>
      <w:r w:rsidRPr="00754945">
        <w:rPr>
          <w:rFonts w:ascii="Microsoft Yahei" w:eastAsia="宋体" w:hAnsi="Microsoft Yahei" w:cs="宋体"/>
          <w:color w:val="000000"/>
          <w:kern w:val="0"/>
          <w:sz w:val="27"/>
          <w:szCs w:val="27"/>
        </w:rPr>
        <w:t>调整的政策措施，需要支持解决的特殊困难；</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（二）重大改革措施、重大立法事项、重大体制变动、重大项目推进、重大突发事件、重大机构调整、重要干部任免、重要表彰奖励、重大违纪违法和复杂敏感案件处理等；</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（三）明确规定需要请示的重要会议、重要活动、重要文件等；</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（四）重大活动、重要政策的宣传报道口径，新闻宣传和意识形态工作中的全局性问题和不易把握的问题；</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（五）出台重大创新举措，特别是遇到新情况新问题且无明文规定、需要先行先试，或者创新举措可能与现行规定相冲突、需经授权才能实施的情况；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（六）属于自身职权</w:t>
      </w:r>
      <w:proofErr w:type="gramStart"/>
      <w:r w:rsidRPr="00754945">
        <w:rPr>
          <w:rFonts w:ascii="Microsoft Yahei" w:eastAsia="宋体" w:hAnsi="Microsoft Yahei" w:cs="宋体"/>
          <w:color w:val="000000"/>
          <w:kern w:val="0"/>
          <w:sz w:val="27"/>
          <w:szCs w:val="27"/>
        </w:rPr>
        <w:t>范围内但事关重大</w:t>
      </w:r>
      <w:proofErr w:type="gramEnd"/>
      <w:r w:rsidRPr="00754945">
        <w:rPr>
          <w:rFonts w:ascii="Microsoft Yahei" w:eastAsia="宋体" w:hAnsi="Microsoft Yahei" w:cs="宋体"/>
          <w:color w:val="000000"/>
          <w:kern w:val="0"/>
          <w:sz w:val="27"/>
          <w:szCs w:val="27"/>
        </w:rPr>
        <w:t>或者特殊敏感的事项；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（七）重大决策时存在较大意见分歧的情况；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（八）跨区域、跨领域、跨行业、跨系统工作中需要上级党组织统筹推进的重大事项；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lastRenderedPageBreak/>
        <w:t xml:space="preserve">　　（九）调整上级党组织文件、会议精神的传达知悉范围，使用上级党组织负责同志未公开的讲话、音像资料等；</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（十）其他应当请示的重大事项。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下列事项不必向上级党组织请示：属于自身职权范围内的日常工作；上级党组织就有关问题已经</w:t>
      </w:r>
      <w:proofErr w:type="gramStart"/>
      <w:r w:rsidRPr="00754945">
        <w:rPr>
          <w:rFonts w:ascii="Microsoft Yahei" w:eastAsia="宋体" w:hAnsi="Microsoft Yahei" w:cs="宋体"/>
          <w:color w:val="000000"/>
          <w:kern w:val="0"/>
          <w:sz w:val="27"/>
          <w:szCs w:val="27"/>
        </w:rPr>
        <w:t>作出</w:t>
      </w:r>
      <w:proofErr w:type="gramEnd"/>
      <w:r w:rsidRPr="00754945">
        <w:rPr>
          <w:rFonts w:ascii="Microsoft Yahei" w:eastAsia="宋体" w:hAnsi="Microsoft Yahei" w:cs="宋体"/>
          <w:color w:val="000000"/>
          <w:kern w:val="0"/>
          <w:sz w:val="27"/>
          <w:szCs w:val="27"/>
        </w:rPr>
        <w:t>明确批复的；事后报告即可的事项等。</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第十四条　党组织应当向上级党组织报告下列事项：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（一）学习贯彻习近平新时代中国特色社会主义思想，统筹推进</w:t>
      </w:r>
      <w:r w:rsidRPr="00754945">
        <w:rPr>
          <w:rFonts w:ascii="Microsoft Yahei" w:eastAsia="宋体" w:hAnsi="Microsoft Yahei" w:cs="宋体"/>
          <w:color w:val="000000"/>
          <w:kern w:val="0"/>
          <w:sz w:val="27"/>
          <w:szCs w:val="27"/>
        </w:rPr>
        <w:t>“</w:t>
      </w:r>
      <w:r w:rsidRPr="00754945">
        <w:rPr>
          <w:rFonts w:ascii="Microsoft Yahei" w:eastAsia="宋体" w:hAnsi="Microsoft Yahei" w:cs="宋体"/>
          <w:color w:val="000000"/>
          <w:kern w:val="0"/>
          <w:sz w:val="27"/>
          <w:szCs w:val="27"/>
        </w:rPr>
        <w:t>五位一体</w:t>
      </w:r>
      <w:r w:rsidRPr="00754945">
        <w:rPr>
          <w:rFonts w:ascii="Microsoft Yahei" w:eastAsia="宋体" w:hAnsi="Microsoft Yahei" w:cs="宋体"/>
          <w:color w:val="000000"/>
          <w:kern w:val="0"/>
          <w:sz w:val="27"/>
          <w:szCs w:val="27"/>
        </w:rPr>
        <w:t>”</w:t>
      </w:r>
      <w:r w:rsidRPr="00754945">
        <w:rPr>
          <w:rFonts w:ascii="Microsoft Yahei" w:eastAsia="宋体" w:hAnsi="Microsoft Yahei" w:cs="宋体"/>
          <w:color w:val="000000"/>
          <w:kern w:val="0"/>
          <w:sz w:val="27"/>
          <w:szCs w:val="27"/>
        </w:rPr>
        <w:t>总体布局和协调推进</w:t>
      </w:r>
      <w:r w:rsidRPr="00754945">
        <w:rPr>
          <w:rFonts w:ascii="Microsoft Yahei" w:eastAsia="宋体" w:hAnsi="Microsoft Yahei" w:cs="宋体"/>
          <w:color w:val="000000"/>
          <w:kern w:val="0"/>
          <w:sz w:val="27"/>
          <w:szCs w:val="27"/>
        </w:rPr>
        <w:t>“</w:t>
      </w:r>
      <w:r w:rsidRPr="00754945">
        <w:rPr>
          <w:rFonts w:ascii="Microsoft Yahei" w:eastAsia="宋体" w:hAnsi="Microsoft Yahei" w:cs="宋体"/>
          <w:color w:val="000000"/>
          <w:kern w:val="0"/>
          <w:sz w:val="27"/>
          <w:szCs w:val="27"/>
        </w:rPr>
        <w:t>四个全面</w:t>
      </w:r>
      <w:r w:rsidRPr="00754945">
        <w:rPr>
          <w:rFonts w:ascii="Microsoft Yahei" w:eastAsia="宋体" w:hAnsi="Microsoft Yahei" w:cs="宋体"/>
          <w:color w:val="000000"/>
          <w:kern w:val="0"/>
          <w:sz w:val="27"/>
          <w:szCs w:val="27"/>
        </w:rPr>
        <w:t>”</w:t>
      </w:r>
      <w:r w:rsidRPr="00754945">
        <w:rPr>
          <w:rFonts w:ascii="Microsoft Yahei" w:eastAsia="宋体" w:hAnsi="Microsoft Yahei" w:cs="宋体"/>
          <w:color w:val="000000"/>
          <w:kern w:val="0"/>
          <w:sz w:val="27"/>
          <w:szCs w:val="27"/>
        </w:rPr>
        <w:t>战略布局的重要情况；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（二）党中央以及上级党组织重要会议、重要文件、重大决策部署贯彻落实情况，习近平总书记重要指示批示贯彻落实情况，上级党组织负责同志交办事项的研究办理情况；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（四）全面工作总结和计划；</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（五）重大专项工作开展情况；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（六）重大敏感事件、突发事件和群体性事件应对处置情况；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（七）经济社会发展中出现的重要情况和重大舆情；</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（八）本地区、本部门、本单位工作中具有在更大范围推广价值的经验做法和意见建议；</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（九）其他应当报告的重大事项。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lastRenderedPageBreak/>
        <w:t xml:space="preserve">　　下列事项不必向上级党组织报告：具体事务性工作；没有实质性内容的表态和情况反映等。</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第十五条　党组织应当按照有关规定向上级党组织报备下列事项：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（一）党内法规和规范性文件；</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（二）领导班子成员分工；</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（三）有关干部任免；</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（四）党委委员、候补委员职务的辞去、免去或者自动终止；</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（五）其他应当报备的重大事项。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第十六条　中央各决策议事协调机构、中央各部门、有关中央国家机关党组（党委）应当对本领域、行业、系统内请示报告的具体事项提出明确要求、加强工作指导。</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上级党组织应当从实际出发，对下级党组织请示报告中主题相近、内容关联的同类事项归并整合提出要求，促使请示报告精简务实。</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第十七条　党组织应当根据本条例规定的请示报告事项范围和内容，结合上级要求和自身实际，制定请示报告事项清单。</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w:t>
      </w:r>
      <w:r w:rsidRPr="00754945">
        <w:rPr>
          <w:rFonts w:ascii="Microsoft Yahei" w:eastAsia="宋体" w:hAnsi="Microsoft Yahei" w:cs="宋体"/>
          <w:b/>
          <w:bCs/>
          <w:color w:val="000000"/>
          <w:kern w:val="0"/>
          <w:sz w:val="27"/>
          <w:szCs w:val="27"/>
        </w:rPr>
        <w:t>第四章　党组织请示报告程序</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第十八条　重大事项请示报告一般应当经党组织领导班子集体研究</w:t>
      </w:r>
      <w:proofErr w:type="gramStart"/>
      <w:r w:rsidRPr="00754945">
        <w:rPr>
          <w:rFonts w:ascii="Microsoft Yahei" w:eastAsia="宋体" w:hAnsi="Microsoft Yahei" w:cs="宋体"/>
          <w:color w:val="000000"/>
          <w:kern w:val="0"/>
          <w:sz w:val="27"/>
          <w:szCs w:val="27"/>
        </w:rPr>
        <w:t>或者传批审定</w:t>
      </w:r>
      <w:proofErr w:type="gramEnd"/>
      <w:r w:rsidRPr="00754945">
        <w:rPr>
          <w:rFonts w:ascii="Microsoft Yahei" w:eastAsia="宋体" w:hAnsi="Microsoft Yahei" w:cs="宋体"/>
          <w:color w:val="000000"/>
          <w:kern w:val="0"/>
          <w:sz w:val="27"/>
          <w:szCs w:val="27"/>
        </w:rPr>
        <w:t>，由主要负责同志签发或者</w:t>
      </w:r>
      <w:proofErr w:type="gramStart"/>
      <w:r w:rsidRPr="00754945">
        <w:rPr>
          <w:rFonts w:ascii="Microsoft Yahei" w:eastAsia="宋体" w:hAnsi="Microsoft Yahei" w:cs="宋体"/>
          <w:color w:val="000000"/>
          <w:kern w:val="0"/>
          <w:sz w:val="27"/>
          <w:szCs w:val="27"/>
        </w:rPr>
        <w:t>作出</w:t>
      </w:r>
      <w:proofErr w:type="gramEnd"/>
      <w:r w:rsidRPr="00754945">
        <w:rPr>
          <w:rFonts w:ascii="Microsoft Yahei" w:eastAsia="宋体" w:hAnsi="Microsoft Yahei" w:cs="宋体"/>
          <w:color w:val="000000"/>
          <w:kern w:val="0"/>
          <w:sz w:val="27"/>
          <w:szCs w:val="27"/>
        </w:rPr>
        <w:t>。必要时应当事先报上级党组织分管负责同志同意。</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两个以上党组织联合请示报告的，应当协商一致后呈报。未取得一致意见的，应当对有关情况</w:t>
      </w:r>
      <w:proofErr w:type="gramStart"/>
      <w:r w:rsidRPr="00754945">
        <w:rPr>
          <w:rFonts w:ascii="Microsoft Yahei" w:eastAsia="宋体" w:hAnsi="Microsoft Yahei" w:cs="宋体"/>
          <w:color w:val="000000"/>
          <w:kern w:val="0"/>
          <w:sz w:val="27"/>
          <w:szCs w:val="27"/>
        </w:rPr>
        <w:t>作出</w:t>
      </w:r>
      <w:proofErr w:type="gramEnd"/>
      <w:r w:rsidRPr="00754945">
        <w:rPr>
          <w:rFonts w:ascii="Microsoft Yahei" w:eastAsia="宋体" w:hAnsi="Microsoft Yahei" w:cs="宋体"/>
          <w:color w:val="000000"/>
          <w:kern w:val="0"/>
          <w:sz w:val="27"/>
          <w:szCs w:val="27"/>
        </w:rPr>
        <w:t>说明。</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lastRenderedPageBreak/>
        <w:t xml:space="preserve">　　第十九条　向上级党组织请示重大事项，必须事前请示，给上级党组织以充足</w:t>
      </w:r>
      <w:proofErr w:type="gramStart"/>
      <w:r w:rsidRPr="00754945">
        <w:rPr>
          <w:rFonts w:ascii="Microsoft Yahei" w:eastAsia="宋体" w:hAnsi="Microsoft Yahei" w:cs="宋体"/>
          <w:color w:val="000000"/>
          <w:kern w:val="0"/>
          <w:sz w:val="27"/>
          <w:szCs w:val="27"/>
        </w:rPr>
        <w:t>研</w:t>
      </w:r>
      <w:proofErr w:type="gramEnd"/>
      <w:r w:rsidRPr="00754945">
        <w:rPr>
          <w:rFonts w:ascii="Microsoft Yahei" w:eastAsia="宋体" w:hAnsi="Microsoft Yahei" w:cs="宋体"/>
          <w:color w:val="000000"/>
          <w:kern w:val="0"/>
          <w:sz w:val="27"/>
          <w:szCs w:val="27"/>
        </w:rPr>
        <w:t>判和决策时间。情况紧急来不及请示必须临机处置的，应当按照规定履职尽责，并及时进行后续请示报告。</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第二十条　提出请示应当阐明请求事项及相关理由。报送请示应当一文一事，不得在报告等非请示性公文中夹带请示事项。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对下级党组织请示的重大事项，受理党组织如需以其名义再向上级党组织请示的，应当认真研究并负责任地提出处理建议，不得只将原文转请示上级党组织。</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第二十一条　上级党组织收到请示后，一般由综合部门提出拟办意见报党组织负责同志按照规定批办。</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党政机关联合提出的请示，由上级党组织牵头办理。</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第二十二条　上级党组织对受理的紧急请示事项应当尽快办理。有明确办理时限要求的应当在规定期限内办理完毕，确有特殊情况无法在规定期限内办理完毕的，应当主动向下级党组织说明情况。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第二十三条　请示的答复一般应当坚持向谁请示由谁答复，特殊情况下受理请示的党组织可以授权党组织有关部门代为答复。</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lastRenderedPageBreak/>
        <w:t xml:space="preserve">　　第二十四条　报告应当具有实质性内容和参考价值，有助于上级党组织了解情况、科学决策，力戒空洞无物、评功摆好、搞形式主义。报告应当简明扼要、文风质朴，呈报党中央的综合报告一般在</w:t>
      </w:r>
      <w:r w:rsidRPr="00754945">
        <w:rPr>
          <w:rFonts w:ascii="Microsoft Yahei" w:eastAsia="宋体" w:hAnsi="Microsoft Yahei" w:cs="宋体"/>
          <w:color w:val="000000"/>
          <w:kern w:val="0"/>
          <w:sz w:val="27"/>
          <w:szCs w:val="27"/>
        </w:rPr>
        <w:t>5000</w:t>
      </w:r>
      <w:r w:rsidRPr="00754945">
        <w:rPr>
          <w:rFonts w:ascii="Microsoft Yahei" w:eastAsia="宋体" w:hAnsi="Microsoft Yahei" w:cs="宋体"/>
          <w:color w:val="000000"/>
          <w:kern w:val="0"/>
          <w:sz w:val="27"/>
          <w:szCs w:val="27"/>
        </w:rPr>
        <w:t>字以内，专项报告一般在</w:t>
      </w:r>
      <w:r w:rsidRPr="00754945">
        <w:rPr>
          <w:rFonts w:ascii="Microsoft Yahei" w:eastAsia="宋体" w:hAnsi="Microsoft Yahei" w:cs="宋体"/>
          <w:color w:val="000000"/>
          <w:kern w:val="0"/>
          <w:sz w:val="27"/>
          <w:szCs w:val="27"/>
        </w:rPr>
        <w:t>3000</w:t>
      </w:r>
      <w:r w:rsidRPr="00754945">
        <w:rPr>
          <w:rFonts w:ascii="Microsoft Yahei" w:eastAsia="宋体" w:hAnsi="Microsoft Yahei" w:cs="宋体"/>
          <w:color w:val="000000"/>
          <w:kern w:val="0"/>
          <w:sz w:val="27"/>
          <w:szCs w:val="27"/>
        </w:rPr>
        <w:t>字以内，情况复杂、确有必要详细报告的有关内容可以通过附件反映。</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第二十五条　上级党组织收到报告后，应当由综合部门根据工作需要报送党组织负责同志阅示。综合部门可以将主题相同、内容相近的报告统一集中报送，或者摘要形成综合材料后报送。</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党组织负责同志对报告</w:t>
      </w:r>
      <w:proofErr w:type="gramStart"/>
      <w:r w:rsidRPr="00754945">
        <w:rPr>
          <w:rFonts w:ascii="Microsoft Yahei" w:eastAsia="宋体" w:hAnsi="Microsoft Yahei" w:cs="宋体"/>
          <w:color w:val="000000"/>
          <w:kern w:val="0"/>
          <w:sz w:val="27"/>
          <w:szCs w:val="27"/>
        </w:rPr>
        <w:t>作出</w:t>
      </w:r>
      <w:proofErr w:type="gramEnd"/>
      <w:r w:rsidRPr="00754945">
        <w:rPr>
          <w:rFonts w:ascii="Microsoft Yahei" w:eastAsia="宋体" w:hAnsi="Microsoft Yahei" w:cs="宋体"/>
          <w:color w:val="000000"/>
          <w:kern w:val="0"/>
          <w:sz w:val="27"/>
          <w:szCs w:val="27"/>
        </w:rPr>
        <w:t>批示指示的，综合部门应当及时按照要求办理。</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第二十七条　重大事项请示报告工作存在可能影响公正办理情形的，有关人员应当回避。</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w:t>
      </w:r>
      <w:r w:rsidRPr="00754945">
        <w:rPr>
          <w:rFonts w:ascii="Microsoft Yahei" w:eastAsia="宋体" w:hAnsi="Microsoft Yahei" w:cs="宋体"/>
          <w:b/>
          <w:bCs/>
          <w:color w:val="000000"/>
          <w:kern w:val="0"/>
          <w:sz w:val="27"/>
          <w:szCs w:val="27"/>
        </w:rPr>
        <w:t>第五章　党组织请示报告方式</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第二十八条　党组织应当根据重大事项类型和缓急程度采用口头、书面方式进行请示报告。</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第二十九条　重大事项请示报告适宜简便进行的，可以采用口头方式。对于情况紧急或者重大事项处理尚处于初步酝酿阶段的，可以采用口头方式先行请示报告，后续再以书面方式补充请示报告。</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lastRenderedPageBreak/>
        <w:t xml:space="preserve">　　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口头请示报告应当做好记录和资料留存，确保有据可查。</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第三十一条　非紧急情况、重大事项处理处于相对成熟阶段或者不适宜简便进行的请示报告，应当采用书面方式。</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第三十二条　书面报告视情采用正式报告、信息、简报等方式。信息侧重于报告重大突发事件，需要注意的问题、现象和情况等，应当做到及时高效、权威准确。简报侧重于报告某方面工作简要情况。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党组织应当统筹用好书面报告方式，坚持</w:t>
      </w:r>
      <w:r w:rsidRPr="00754945">
        <w:rPr>
          <w:rFonts w:ascii="Microsoft Yahei" w:eastAsia="宋体" w:hAnsi="Microsoft Yahei" w:cs="宋体"/>
          <w:color w:val="000000"/>
          <w:kern w:val="0"/>
          <w:sz w:val="27"/>
          <w:szCs w:val="27"/>
        </w:rPr>
        <w:t>“</w:t>
      </w:r>
      <w:r w:rsidRPr="00754945">
        <w:rPr>
          <w:rFonts w:ascii="Microsoft Yahei" w:eastAsia="宋体" w:hAnsi="Microsoft Yahei" w:cs="宋体"/>
          <w:color w:val="000000"/>
          <w:kern w:val="0"/>
          <w:sz w:val="27"/>
          <w:szCs w:val="27"/>
        </w:rPr>
        <w:t>一事</w:t>
      </w:r>
      <w:proofErr w:type="gramStart"/>
      <w:r w:rsidRPr="00754945">
        <w:rPr>
          <w:rFonts w:ascii="Microsoft Yahei" w:eastAsia="宋体" w:hAnsi="Microsoft Yahei" w:cs="宋体"/>
          <w:color w:val="000000"/>
          <w:kern w:val="0"/>
          <w:sz w:val="27"/>
          <w:szCs w:val="27"/>
        </w:rPr>
        <w:t>不</w:t>
      </w:r>
      <w:proofErr w:type="gramEnd"/>
      <w:r w:rsidRPr="00754945">
        <w:rPr>
          <w:rFonts w:ascii="Microsoft Yahei" w:eastAsia="宋体" w:hAnsi="Microsoft Yahei" w:cs="宋体"/>
          <w:color w:val="000000"/>
          <w:kern w:val="0"/>
          <w:sz w:val="27"/>
          <w:szCs w:val="27"/>
        </w:rPr>
        <w:t>二报</w:t>
      </w:r>
      <w:r w:rsidRPr="00754945">
        <w:rPr>
          <w:rFonts w:ascii="Microsoft Yahei" w:eastAsia="宋体" w:hAnsi="Microsoft Yahei" w:cs="宋体"/>
          <w:color w:val="000000"/>
          <w:kern w:val="0"/>
          <w:sz w:val="27"/>
          <w:szCs w:val="27"/>
        </w:rPr>
        <w:t>”</w:t>
      </w:r>
      <w:r w:rsidRPr="00754945">
        <w:rPr>
          <w:rFonts w:ascii="Microsoft Yahei" w:eastAsia="宋体" w:hAnsi="Microsoft Yahei" w:cs="宋体"/>
          <w:color w:val="000000"/>
          <w:kern w:val="0"/>
          <w:sz w:val="27"/>
          <w:szCs w:val="27"/>
        </w:rPr>
        <w:t>，一般不得就同一内容使用多种方式重复报告。上级党组织明确要求正式报告的，不得以其他方式代替。</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第三十三条　党组织可以利用电话、文件、传真、电报、网络等载体开展请示报告工作。涉密事项应当按照有关保密规定执行。</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基层党组织开展请示报告工作可以更加灵活便捷、突出实效。</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w:t>
      </w:r>
      <w:r w:rsidRPr="00754945">
        <w:rPr>
          <w:rFonts w:ascii="Microsoft Yahei" w:eastAsia="宋体" w:hAnsi="Microsoft Yahei" w:cs="宋体"/>
          <w:b/>
          <w:bCs/>
          <w:color w:val="000000"/>
          <w:kern w:val="0"/>
          <w:sz w:val="27"/>
          <w:szCs w:val="27"/>
        </w:rPr>
        <w:t>第六章　党员、领导干部请示报告</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第三十四条　党员一般应当向所在党组织请示报告重大事项。领导干部一般应当向所属党组织请示报告重要工作。</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党员、领导干部向党组织请示报告个人有关事项，按照有关规定执行。</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第三十五条　党员应当向党组织请示下列事项：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（一）从事党组织所分配的工作中的重要问题；</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lastRenderedPageBreak/>
        <w:t xml:space="preserve">　　（二）代表党组织发表主张或者</w:t>
      </w:r>
      <w:proofErr w:type="gramStart"/>
      <w:r w:rsidRPr="00754945">
        <w:rPr>
          <w:rFonts w:ascii="Microsoft Yahei" w:eastAsia="宋体" w:hAnsi="Microsoft Yahei" w:cs="宋体"/>
          <w:color w:val="000000"/>
          <w:kern w:val="0"/>
          <w:sz w:val="27"/>
          <w:szCs w:val="27"/>
        </w:rPr>
        <w:t>作出</w:t>
      </w:r>
      <w:proofErr w:type="gramEnd"/>
      <w:r w:rsidRPr="00754945">
        <w:rPr>
          <w:rFonts w:ascii="Microsoft Yahei" w:eastAsia="宋体" w:hAnsi="Microsoft Yahei" w:cs="宋体"/>
          <w:color w:val="000000"/>
          <w:kern w:val="0"/>
          <w:sz w:val="27"/>
          <w:szCs w:val="27"/>
        </w:rPr>
        <w:t>决定；</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（三）按照规定需要请示的涉外工作交往活动；</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（四）</w:t>
      </w:r>
      <w:proofErr w:type="gramStart"/>
      <w:r w:rsidRPr="00754945">
        <w:rPr>
          <w:rFonts w:ascii="Microsoft Yahei" w:eastAsia="宋体" w:hAnsi="Microsoft Yahei" w:cs="宋体"/>
          <w:color w:val="000000"/>
          <w:kern w:val="0"/>
          <w:sz w:val="27"/>
          <w:szCs w:val="27"/>
        </w:rPr>
        <w:t>转移党</w:t>
      </w:r>
      <w:proofErr w:type="gramEnd"/>
      <w:r w:rsidRPr="00754945">
        <w:rPr>
          <w:rFonts w:ascii="Microsoft Yahei" w:eastAsia="宋体" w:hAnsi="Microsoft Yahei" w:cs="宋体"/>
          <w:color w:val="000000"/>
          <w:kern w:val="0"/>
          <w:sz w:val="27"/>
          <w:szCs w:val="27"/>
        </w:rPr>
        <w:t>的组织关系；</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（五）其他应当向党组织请示的事项。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第三十六条　党员应当向党组织报告下列事项：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（一）贯彻执行党组织决议以及完成党组织交办工作任务情况；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（二）对党的工作和领导干部的意见建议；</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（三）发现党员、领导干部违纪违法线索情况；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（四）流动外出情况；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（五）其他应当向党组织报告的事项。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第三十七条　领导干部应当向党组织请示下列事项：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（一）超出自身职权范围，应当由所在党组织或者上级党组织</w:t>
      </w:r>
      <w:proofErr w:type="gramStart"/>
      <w:r w:rsidRPr="00754945">
        <w:rPr>
          <w:rFonts w:ascii="Microsoft Yahei" w:eastAsia="宋体" w:hAnsi="Microsoft Yahei" w:cs="宋体"/>
          <w:color w:val="000000"/>
          <w:kern w:val="0"/>
          <w:sz w:val="27"/>
          <w:szCs w:val="27"/>
        </w:rPr>
        <w:t>作出</w:t>
      </w:r>
      <w:proofErr w:type="gramEnd"/>
      <w:r w:rsidRPr="00754945">
        <w:rPr>
          <w:rFonts w:ascii="Microsoft Yahei" w:eastAsia="宋体" w:hAnsi="Microsoft Yahei" w:cs="宋体"/>
          <w:color w:val="000000"/>
          <w:kern w:val="0"/>
          <w:sz w:val="27"/>
          <w:szCs w:val="27"/>
        </w:rPr>
        <w:t>决定的重大事项；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（二）属于自身职权范围但事关重大的问题和情况；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（三）代表党组织对外发表重要意见；</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（四）因故无法履职或者离开工作所在地；</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（五）其他应当向党组织请示的事项。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第三十八条　领导干部应当向党组织报告下列事项：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（一）学习贯彻习近平新时代中国特色社会主义思想，贯彻落实党中央决策部署和党组织决定中的重要情况和问题；</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（二）遵守政治纪律和政治规矩，坚决维护习近平总书记党中央的核心、全党的核心地位，坚决维护党中央权威和集中统一领导情况；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lastRenderedPageBreak/>
        <w:t xml:space="preserve">　　（三）坚持民主集中制，发扬党内民主，正确行使权力，参与集体领导情况；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（四）参加领导班子民主生活会和所在党支部（党小组）组织生活会情况；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（五）履行管党治党责任，加强党风廉政建设和反腐败工作以及遵守廉洁纪律情况；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（六）重大决策失误或者应对突发事件处置失当，纪检监察、巡视巡察和审计中发现重要问题，以及违纪违法情况；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（七）可能影响正常履职的重大疾病等情况；</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（八）其他应当向党组织报告的事项。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第三十九条　党员、领导干部按照规定采用口头、书面方式进行请示报告。党组织应当及时办理党员、领导干部的请示事项，必要时可以对报告事项</w:t>
      </w:r>
      <w:proofErr w:type="gramStart"/>
      <w:r w:rsidRPr="00754945">
        <w:rPr>
          <w:rFonts w:ascii="Microsoft Yahei" w:eastAsia="宋体" w:hAnsi="Microsoft Yahei" w:cs="宋体"/>
          <w:color w:val="000000"/>
          <w:kern w:val="0"/>
          <w:sz w:val="27"/>
          <w:szCs w:val="27"/>
        </w:rPr>
        <w:t>作出</w:t>
      </w:r>
      <w:proofErr w:type="gramEnd"/>
      <w:r w:rsidRPr="00754945">
        <w:rPr>
          <w:rFonts w:ascii="Microsoft Yahei" w:eastAsia="宋体" w:hAnsi="Microsoft Yahei" w:cs="宋体"/>
          <w:color w:val="000000"/>
          <w:kern w:val="0"/>
          <w:sz w:val="27"/>
          <w:szCs w:val="27"/>
        </w:rPr>
        <w:t>研究处理。</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w:t>
      </w:r>
      <w:r w:rsidRPr="00754945">
        <w:rPr>
          <w:rFonts w:ascii="Microsoft Yahei" w:eastAsia="宋体" w:hAnsi="Microsoft Yahei" w:cs="宋体"/>
          <w:b/>
          <w:bCs/>
          <w:color w:val="000000"/>
          <w:kern w:val="0"/>
          <w:sz w:val="27"/>
          <w:szCs w:val="27"/>
        </w:rPr>
        <w:t>第七章　监督与追责</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第四十条　党组织应当将重大事项请示报告工作开展情况纳入向上一级党组织报告工作的重要内容。</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第四十一条　党组织应当建立健全重大事项请示报告工作督查机制，并将执行请示报告制度情况纳入日常监督和巡视巡察范围。</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lastRenderedPageBreak/>
        <w:t xml:space="preserve">　　第四十三条　建立健全纠错机制，对于重大事项请示报告工作中出现的主体不适当、内容不准确、程序不规范、方式不合理等问题，上级党组织应当及时提醒纠正，并将有关情况体现到考评通报中。</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第四十四条　实行重大事项请示报告责任追究制度，有下列情形之一的，应当依规依纪追究有关党组织和党员、领导干部以及工作人员的责任，涉嫌违法犯罪的，按照有关法律规定处理：</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（一）违反政治纪律和政治规矩，擅自决定应当由党中央决定的重大事项，损害党中央权威和集中统一领导的；</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（二）履行领导责任不到位，对重大事项请示报告不重视不部署，工作开展不力的；</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（三）违反组织原则，该请示不请示，该报告不报告的；</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（四）缺乏责任担当，推诿塞责、上交矛盾、消极作为的；</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（五）搞形式主义、官僚主义，请示报告内容不实、信息不准，造成严重后果的；</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（六）违反工作要求，不按规定程序和方式请示报告，造成严重后果的；</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（七）其他应当追究责任的情形。</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w:t>
      </w:r>
      <w:r w:rsidRPr="00754945">
        <w:rPr>
          <w:rFonts w:ascii="Microsoft Yahei" w:eastAsia="宋体" w:hAnsi="Microsoft Yahei" w:cs="宋体"/>
          <w:b/>
          <w:bCs/>
          <w:color w:val="000000"/>
          <w:kern w:val="0"/>
          <w:sz w:val="27"/>
          <w:szCs w:val="27"/>
        </w:rPr>
        <w:t>第八章　附则</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第四十五条　各省、自治区、直辖市党委，中央各决策议事协调机构，中央各部门，中央国家机关各部委党组（党委），应当紧密结合工作实际制定具体落实措施。</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t xml:space="preserve">　　第四十六条　中央军事委员会可以根据本条例，结合中国人民解放军和中国人民武装警察部队的实际情况，制定相关规定。</w:t>
      </w:r>
    </w:p>
    <w:p w:rsidR="00754945" w:rsidRPr="00754945" w:rsidRDefault="00754945" w:rsidP="00754945">
      <w:pPr>
        <w:widowControl/>
        <w:shd w:val="clear" w:color="auto" w:fill="FFFFFF"/>
        <w:wordWrap w:val="0"/>
        <w:jc w:val="left"/>
        <w:rPr>
          <w:rFonts w:ascii="Microsoft Yahei" w:eastAsia="宋体" w:hAnsi="Microsoft Yahei" w:cs="宋体" w:hint="eastAsia"/>
          <w:color w:val="000000"/>
          <w:kern w:val="0"/>
          <w:sz w:val="30"/>
          <w:szCs w:val="30"/>
        </w:rPr>
      </w:pPr>
      <w:r w:rsidRPr="00754945">
        <w:rPr>
          <w:rFonts w:ascii="Microsoft Yahei" w:eastAsia="宋体" w:hAnsi="Microsoft Yahei" w:cs="宋体"/>
          <w:color w:val="000000"/>
          <w:kern w:val="0"/>
          <w:sz w:val="27"/>
          <w:szCs w:val="27"/>
        </w:rPr>
        <w:lastRenderedPageBreak/>
        <w:t xml:space="preserve">　　第四十七条　本条例由中央办公厅负责解释。</w:t>
      </w:r>
    </w:p>
    <w:p w:rsidR="004A4E6D" w:rsidRDefault="00754945" w:rsidP="00754945">
      <w:r w:rsidRPr="00754945">
        <w:rPr>
          <w:rFonts w:ascii="Microsoft Yahei" w:eastAsia="宋体" w:hAnsi="Microsoft Yahei" w:cs="宋体"/>
          <w:color w:val="000000"/>
          <w:kern w:val="0"/>
          <w:sz w:val="27"/>
          <w:szCs w:val="27"/>
        </w:rPr>
        <w:t xml:space="preserve">　　第四十八条　本条例自</w:t>
      </w:r>
      <w:r w:rsidRPr="00754945">
        <w:rPr>
          <w:rFonts w:ascii="Microsoft Yahei" w:eastAsia="宋体" w:hAnsi="Microsoft Yahei" w:cs="宋体"/>
          <w:color w:val="000000"/>
          <w:kern w:val="0"/>
          <w:sz w:val="27"/>
          <w:szCs w:val="27"/>
        </w:rPr>
        <w:t>2019</w:t>
      </w:r>
      <w:r w:rsidRPr="00754945">
        <w:rPr>
          <w:rFonts w:ascii="Microsoft Yahei" w:eastAsia="宋体" w:hAnsi="Microsoft Yahei" w:cs="宋体"/>
          <w:color w:val="000000"/>
          <w:kern w:val="0"/>
          <w:sz w:val="27"/>
          <w:szCs w:val="27"/>
        </w:rPr>
        <w:t>年</w:t>
      </w:r>
      <w:r w:rsidRPr="00754945">
        <w:rPr>
          <w:rFonts w:ascii="Microsoft Yahei" w:eastAsia="宋体" w:hAnsi="Microsoft Yahei" w:cs="宋体"/>
          <w:color w:val="000000"/>
          <w:kern w:val="0"/>
          <w:sz w:val="27"/>
          <w:szCs w:val="27"/>
        </w:rPr>
        <w:t>1</w:t>
      </w:r>
      <w:r w:rsidRPr="00754945">
        <w:rPr>
          <w:rFonts w:ascii="Microsoft Yahei" w:eastAsia="宋体" w:hAnsi="Microsoft Yahei" w:cs="宋体"/>
          <w:color w:val="000000"/>
          <w:kern w:val="0"/>
          <w:sz w:val="27"/>
          <w:szCs w:val="27"/>
        </w:rPr>
        <w:t>月</w:t>
      </w:r>
      <w:r w:rsidRPr="00754945">
        <w:rPr>
          <w:rFonts w:ascii="Microsoft Yahei" w:eastAsia="宋体" w:hAnsi="Microsoft Yahei" w:cs="宋体"/>
          <w:color w:val="000000"/>
          <w:kern w:val="0"/>
          <w:sz w:val="27"/>
          <w:szCs w:val="27"/>
        </w:rPr>
        <w:t>31</w:t>
      </w:r>
      <w:r w:rsidRPr="00754945">
        <w:rPr>
          <w:rFonts w:ascii="Microsoft Yahei" w:eastAsia="宋体" w:hAnsi="Microsoft Yahei" w:cs="宋体"/>
          <w:color w:val="000000"/>
          <w:kern w:val="0"/>
          <w:sz w:val="27"/>
          <w:szCs w:val="27"/>
        </w:rPr>
        <w:t>日起施行。</w:t>
      </w:r>
    </w:p>
    <w:sectPr w:rsidR="004A4E6D" w:rsidSect="00231176">
      <w:pgSz w:w="11906" w:h="16838"/>
      <w:pgMar w:top="1361" w:right="1531" w:bottom="136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3AB" w:rsidRDefault="00E333AB" w:rsidP="00231176">
      <w:r>
        <w:separator/>
      </w:r>
    </w:p>
  </w:endnote>
  <w:endnote w:type="continuationSeparator" w:id="0">
    <w:p w:rsidR="00E333AB" w:rsidRDefault="00E333AB" w:rsidP="0023117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icrosoft Yahei">
    <w:altName w:val="Cambria"/>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3AB" w:rsidRDefault="00E333AB" w:rsidP="00231176">
      <w:r>
        <w:separator/>
      </w:r>
    </w:p>
  </w:footnote>
  <w:footnote w:type="continuationSeparator" w:id="0">
    <w:p w:rsidR="00E333AB" w:rsidRDefault="00E333AB" w:rsidP="002311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07D"/>
    <w:rsid w:val="00231176"/>
    <w:rsid w:val="004A4E6D"/>
    <w:rsid w:val="0062207D"/>
    <w:rsid w:val="00754945"/>
    <w:rsid w:val="00DC1731"/>
    <w:rsid w:val="00E333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1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1176"/>
    <w:rPr>
      <w:sz w:val="18"/>
      <w:szCs w:val="18"/>
    </w:rPr>
  </w:style>
  <w:style w:type="paragraph" w:styleId="a4">
    <w:name w:val="footer"/>
    <w:basedOn w:val="a"/>
    <w:link w:val="Char0"/>
    <w:uiPriority w:val="99"/>
    <w:semiHidden/>
    <w:unhideWhenUsed/>
    <w:rsid w:val="002311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1176"/>
    <w:rPr>
      <w:sz w:val="18"/>
      <w:szCs w:val="18"/>
    </w:rPr>
  </w:style>
</w:styles>
</file>

<file path=word/webSettings.xml><?xml version="1.0" encoding="utf-8"?>
<w:webSettings xmlns:r="http://schemas.openxmlformats.org/officeDocument/2006/relationships" xmlns:w="http://schemas.openxmlformats.org/wordprocessingml/2006/main">
  <w:divs>
    <w:div w:id="1120494855">
      <w:bodyDiv w:val="1"/>
      <w:marLeft w:val="0"/>
      <w:marRight w:val="0"/>
      <w:marTop w:val="0"/>
      <w:marBottom w:val="0"/>
      <w:divBdr>
        <w:top w:val="none" w:sz="0" w:space="0" w:color="auto"/>
        <w:left w:val="none" w:sz="0" w:space="0" w:color="auto"/>
        <w:bottom w:val="none" w:sz="0" w:space="0" w:color="auto"/>
        <w:right w:val="none" w:sz="0" w:space="0" w:color="auto"/>
      </w:divBdr>
      <w:divsChild>
        <w:div w:id="1849372620">
          <w:marLeft w:val="0"/>
          <w:marRight w:val="0"/>
          <w:marTop w:val="0"/>
          <w:marBottom w:val="0"/>
          <w:divBdr>
            <w:top w:val="none" w:sz="0" w:space="0" w:color="auto"/>
            <w:left w:val="none" w:sz="0" w:space="0" w:color="auto"/>
            <w:bottom w:val="none" w:sz="0" w:space="0" w:color="auto"/>
            <w:right w:val="none" w:sz="0" w:space="0" w:color="auto"/>
          </w:divBdr>
          <w:divsChild>
            <w:div w:id="1993950109">
              <w:marLeft w:val="0"/>
              <w:marRight w:val="0"/>
              <w:marTop w:val="0"/>
              <w:marBottom w:val="0"/>
              <w:divBdr>
                <w:top w:val="none" w:sz="0" w:space="0" w:color="auto"/>
                <w:left w:val="none" w:sz="0" w:space="0" w:color="auto"/>
                <w:bottom w:val="none" w:sz="0" w:space="0" w:color="auto"/>
                <w:right w:val="none" w:sz="0" w:space="0" w:color="auto"/>
              </w:divBdr>
              <w:divsChild>
                <w:div w:id="183326999">
                  <w:marLeft w:val="0"/>
                  <w:marRight w:val="0"/>
                  <w:marTop w:val="0"/>
                  <w:marBottom w:val="0"/>
                  <w:divBdr>
                    <w:top w:val="none" w:sz="0" w:space="0" w:color="auto"/>
                    <w:left w:val="none" w:sz="0" w:space="0" w:color="auto"/>
                    <w:bottom w:val="none" w:sz="0" w:space="0" w:color="auto"/>
                    <w:right w:val="none" w:sz="0" w:space="0" w:color="auto"/>
                  </w:divBdr>
                  <w:divsChild>
                    <w:div w:id="712198953">
                      <w:marLeft w:val="0"/>
                      <w:marRight w:val="0"/>
                      <w:marTop w:val="0"/>
                      <w:marBottom w:val="0"/>
                      <w:divBdr>
                        <w:top w:val="none" w:sz="0" w:space="0" w:color="auto"/>
                        <w:left w:val="none" w:sz="0" w:space="0" w:color="auto"/>
                        <w:bottom w:val="none" w:sz="0" w:space="0" w:color="auto"/>
                        <w:right w:val="none" w:sz="0" w:space="0" w:color="auto"/>
                      </w:divBdr>
                      <w:divsChild>
                        <w:div w:id="465855863">
                          <w:marLeft w:val="0"/>
                          <w:marRight w:val="0"/>
                          <w:marTop w:val="0"/>
                          <w:marBottom w:val="0"/>
                          <w:divBdr>
                            <w:top w:val="none" w:sz="0" w:space="0" w:color="auto"/>
                            <w:left w:val="none" w:sz="0" w:space="0" w:color="auto"/>
                            <w:bottom w:val="none" w:sz="0" w:space="0" w:color="auto"/>
                            <w:right w:val="none" w:sz="0" w:space="0" w:color="auto"/>
                          </w:divBdr>
                          <w:divsChild>
                            <w:div w:id="389305020">
                              <w:marLeft w:val="0"/>
                              <w:marRight w:val="0"/>
                              <w:marTop w:val="0"/>
                              <w:marBottom w:val="0"/>
                              <w:divBdr>
                                <w:top w:val="none" w:sz="0" w:space="0" w:color="auto"/>
                                <w:left w:val="none" w:sz="0" w:space="0" w:color="auto"/>
                                <w:bottom w:val="none" w:sz="0" w:space="0" w:color="auto"/>
                                <w:right w:val="none" w:sz="0" w:space="0" w:color="auto"/>
                              </w:divBdr>
                              <w:divsChild>
                                <w:div w:id="873738871">
                                  <w:marLeft w:val="0"/>
                                  <w:marRight w:val="0"/>
                                  <w:marTop w:val="0"/>
                                  <w:marBottom w:val="0"/>
                                  <w:divBdr>
                                    <w:top w:val="none" w:sz="0" w:space="0" w:color="auto"/>
                                    <w:left w:val="none" w:sz="0" w:space="0" w:color="auto"/>
                                    <w:bottom w:val="none" w:sz="0" w:space="0" w:color="auto"/>
                                    <w:right w:val="none" w:sz="0" w:space="0" w:color="auto"/>
                                  </w:divBdr>
                                  <w:divsChild>
                                    <w:div w:id="3374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1120481375@qq.com</dc:creator>
  <cp:keywords/>
  <dc:description/>
  <cp:lastModifiedBy>lenovo</cp:lastModifiedBy>
  <cp:revision>3</cp:revision>
  <dcterms:created xsi:type="dcterms:W3CDTF">2019-04-02T12:18:00Z</dcterms:created>
  <dcterms:modified xsi:type="dcterms:W3CDTF">2019-04-09T00:49:00Z</dcterms:modified>
</cp:coreProperties>
</file>